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2BA3" w14:textId="77777777" w:rsidR="00A54C21" w:rsidRDefault="00A54C21" w:rsidP="00A54C21">
      <w:pPr>
        <w:widowControl/>
        <w:autoSpaceDE/>
        <w:adjustRightInd/>
        <w:ind w:left="36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№5</w:t>
      </w:r>
    </w:p>
    <w:p w14:paraId="278CB6C7" w14:textId="77777777" w:rsidR="00A54C21" w:rsidRDefault="00A54C21" w:rsidP="00A54C21">
      <w:pPr>
        <w:widowControl/>
        <w:autoSpaceDE/>
        <w:adjustRightInd/>
        <w:ind w:left="360"/>
        <w:jc w:val="right"/>
        <w:rPr>
          <w:color w:val="000000"/>
          <w:sz w:val="28"/>
          <w:szCs w:val="28"/>
        </w:rPr>
      </w:pPr>
    </w:p>
    <w:p w14:paraId="5C4CAA5C" w14:textId="77777777" w:rsidR="00A54C21" w:rsidRDefault="00A54C21" w:rsidP="00A54C21">
      <w:pPr>
        <w:widowControl/>
        <w:autoSpaceDE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к средствам автоматизации</w:t>
      </w:r>
    </w:p>
    <w:p w14:paraId="043082DD" w14:textId="77777777" w:rsidR="00A54C21" w:rsidRDefault="00A54C21" w:rsidP="00A54C21">
      <w:pPr>
        <w:widowControl/>
        <w:autoSpaceDE/>
        <w:adjustRightInd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:</w:t>
      </w:r>
    </w:p>
    <w:p w14:paraId="5418F9ED" w14:textId="77777777" w:rsidR="00A54C21" w:rsidRDefault="00A54C21" w:rsidP="00A54C21">
      <w:pPr>
        <w:widowControl/>
        <w:numPr>
          <w:ilvl w:val="1"/>
          <w:numId w:val="20"/>
        </w:numPr>
        <w:tabs>
          <w:tab w:val="left" w:pos="709"/>
        </w:tabs>
        <w:autoSpaceDE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система управления должна обеспечивать:</w:t>
      </w:r>
    </w:p>
    <w:p w14:paraId="5D38E84A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</w:tabs>
        <w:autoSpaceDE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Автоматическое регулирование заданных режимов работы;</w:t>
      </w:r>
    </w:p>
    <w:p w14:paraId="6B344E00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  <w:szCs w:val="24"/>
        </w:rPr>
      </w:pPr>
      <w:r>
        <w:rPr>
          <w:sz w:val="28"/>
          <w:szCs w:val="28"/>
        </w:rPr>
        <w:t>Защиту систем при аварийных ситуациях;</w:t>
      </w:r>
    </w:p>
    <w:p w14:paraId="50A13E26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Контроль параметров, сигнализацию отклонений от нормы и индикацию положения исполнительных органов;</w:t>
      </w:r>
    </w:p>
    <w:p w14:paraId="54DA243A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Диагностику состояния систем и аппаратуры;</w:t>
      </w:r>
    </w:p>
    <w:p w14:paraId="4FAC988A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Автоматическую проверку готовности оборудования к пуску;</w:t>
      </w:r>
    </w:p>
    <w:p w14:paraId="2B64CD50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Учет времени наработки, числа пусков и остановов;</w:t>
      </w:r>
    </w:p>
    <w:p w14:paraId="55252E1C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Обмен информацией и управление с верхнего уровня АСУТП и смежными системами автоматизации;</w:t>
      </w:r>
    </w:p>
    <w:p w14:paraId="0E66BCEB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</w:rPr>
      </w:pPr>
      <w:r>
        <w:rPr>
          <w:iCs/>
          <w:sz w:val="28"/>
        </w:rPr>
        <w:t>Управление всеми системами поставляемого оборудования: автоматические системы защит, блокировок и сигнализаций; системы автоматического регулирования параметров работы оборудования;</w:t>
      </w:r>
    </w:p>
    <w:p w14:paraId="166A478F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709"/>
          <w:tab w:val="left" w:pos="1276"/>
        </w:tabs>
        <w:autoSpaceDE/>
        <w:adjustRightInd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</w:rPr>
        <w:t>Предоставление на верхний уровень АСУТП необходимых данных для ведения учета и архивирования параметров работы оборудования;</w:t>
      </w:r>
    </w:p>
    <w:p w14:paraId="0647F7AB" w14:textId="77777777" w:rsidR="00A54C21" w:rsidRDefault="00A54C21" w:rsidP="00A54C21">
      <w:pPr>
        <w:widowControl/>
        <w:numPr>
          <w:ilvl w:val="2"/>
          <w:numId w:val="20"/>
        </w:numPr>
        <w:tabs>
          <w:tab w:val="left" w:pos="993"/>
        </w:tabs>
        <w:autoSpaceDE/>
        <w:adjustRightInd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</w:rPr>
        <w:t xml:space="preserve">синхронизацию времени технических средств АСУ ТП по сети </w:t>
      </w:r>
      <w:proofErr w:type="spellStart"/>
      <w:r>
        <w:rPr>
          <w:iCs/>
          <w:sz w:val="28"/>
        </w:rPr>
        <w:t>Ethernet</w:t>
      </w:r>
      <w:proofErr w:type="spellEnd"/>
      <w:r>
        <w:rPr>
          <w:iCs/>
          <w:sz w:val="28"/>
        </w:rPr>
        <w:t xml:space="preserve"> по протоколу SNTP от системы единого времени заказчика.</w:t>
      </w:r>
    </w:p>
    <w:p w14:paraId="11F50FE0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В целях унификации </w:t>
      </w:r>
      <w:r>
        <w:rPr>
          <w:iCs/>
          <w:sz w:val="28"/>
          <w:lang w:val="ru-RU"/>
        </w:rPr>
        <w:t>применить следующее оборудование:</w:t>
      </w:r>
    </w:p>
    <w:p w14:paraId="016EB30F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spacing w:val="-1"/>
          <w:sz w:val="28"/>
          <w:szCs w:val="28"/>
        </w:rPr>
        <w:t xml:space="preserve">В шкафах управления установок А1-А12 (ШУВК) и П1-П2 (ШУВП) – применить контроллер серии </w:t>
      </w:r>
      <w:proofErr w:type="spellStart"/>
      <w:r>
        <w:rPr>
          <w:spacing w:val="-1"/>
          <w:sz w:val="28"/>
          <w:szCs w:val="28"/>
        </w:rPr>
        <w:t>Siemens</w:t>
      </w:r>
      <w:proofErr w:type="spellEnd"/>
      <w:r>
        <w:rPr>
          <w:spacing w:val="-1"/>
          <w:sz w:val="28"/>
          <w:szCs w:val="28"/>
        </w:rPr>
        <w:t xml:space="preserve"> S7-1200; для системы управления калориферной (шкаф ШУК) применить контроллер серии </w:t>
      </w:r>
      <w:proofErr w:type="spellStart"/>
      <w:r>
        <w:rPr>
          <w:spacing w:val="-1"/>
          <w:sz w:val="28"/>
          <w:szCs w:val="28"/>
        </w:rPr>
        <w:t>Siemens</w:t>
      </w:r>
      <w:proofErr w:type="spellEnd"/>
      <w:r>
        <w:rPr>
          <w:spacing w:val="-1"/>
          <w:sz w:val="28"/>
          <w:szCs w:val="28"/>
        </w:rPr>
        <w:t xml:space="preserve"> S7-1500.</w:t>
      </w:r>
      <w:r>
        <w:rPr>
          <w:iCs/>
          <w:sz w:val="28"/>
          <w:lang w:val="ru-RU"/>
        </w:rPr>
        <w:t xml:space="preserve"> </w:t>
      </w:r>
    </w:p>
    <w:p w14:paraId="0ED80026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 xml:space="preserve">Связь между контроллерами и верхним уровнем АСУ ТП должна быть выполнена </w:t>
      </w:r>
      <w:r>
        <w:rPr>
          <w:iCs/>
          <w:sz w:val="28"/>
        </w:rPr>
        <w:t xml:space="preserve">по сети </w:t>
      </w:r>
      <w:proofErr w:type="spellStart"/>
      <w:r>
        <w:rPr>
          <w:iCs/>
          <w:sz w:val="28"/>
        </w:rPr>
        <w:t>Ethernet</w:t>
      </w:r>
      <w:proofErr w:type="spellEnd"/>
      <w:r>
        <w:rPr>
          <w:iCs/>
          <w:sz w:val="28"/>
          <w:lang w:val="ru-RU"/>
        </w:rPr>
        <w:t xml:space="preserve">, протокол </w:t>
      </w:r>
      <w:r>
        <w:rPr>
          <w:iCs/>
          <w:sz w:val="28"/>
          <w:lang w:val="en-US"/>
        </w:rPr>
        <w:t>TCP</w:t>
      </w:r>
      <w:r>
        <w:rPr>
          <w:iCs/>
          <w:sz w:val="28"/>
          <w:lang w:val="ru-RU"/>
        </w:rPr>
        <w:t>/</w:t>
      </w:r>
      <w:r>
        <w:rPr>
          <w:iCs/>
          <w:sz w:val="28"/>
          <w:lang w:val="en-US"/>
        </w:rPr>
        <w:t>IP</w:t>
      </w:r>
      <w:r>
        <w:rPr>
          <w:iCs/>
          <w:sz w:val="28"/>
          <w:lang w:val="ru-RU"/>
        </w:rPr>
        <w:t>:</w:t>
      </w:r>
    </w:p>
    <w:p w14:paraId="0F8A600A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09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Н</w:t>
      </w:r>
      <w:proofErr w:type="spellStart"/>
      <w:r>
        <w:rPr>
          <w:iCs/>
          <w:sz w:val="28"/>
        </w:rPr>
        <w:t>ерезервированные</w:t>
      </w:r>
      <w:proofErr w:type="spellEnd"/>
      <w:r>
        <w:rPr>
          <w:iCs/>
          <w:sz w:val="28"/>
        </w:rPr>
        <w:t xml:space="preserve"> микропроцессорные контроллеры на базе серии </w:t>
      </w:r>
      <w:bookmarkStart w:id="0" w:name="_Hlk188868887"/>
      <w:r>
        <w:rPr>
          <w:iCs/>
          <w:sz w:val="28"/>
        </w:rPr>
        <w:t>SIMATIC S7-1500</w:t>
      </w:r>
      <w:bookmarkEnd w:id="0"/>
      <w:r>
        <w:rPr>
          <w:iCs/>
          <w:sz w:val="28"/>
        </w:rPr>
        <w:t xml:space="preserve"> </w:t>
      </w:r>
      <w:bookmarkStart w:id="1" w:name="_Hlk188868963"/>
      <w:r>
        <w:rPr>
          <w:iCs/>
          <w:sz w:val="28"/>
          <w:lang w:val="ru-RU"/>
        </w:rPr>
        <w:t xml:space="preserve">или </w:t>
      </w:r>
      <w:r>
        <w:rPr>
          <w:iCs/>
          <w:sz w:val="28"/>
        </w:rPr>
        <w:t>SIMATIC S7-1</w:t>
      </w:r>
      <w:r>
        <w:rPr>
          <w:iCs/>
          <w:sz w:val="28"/>
          <w:lang w:val="ru-RU"/>
        </w:rPr>
        <w:t>2</w:t>
      </w:r>
      <w:r>
        <w:rPr>
          <w:iCs/>
          <w:sz w:val="28"/>
        </w:rPr>
        <w:t>00</w:t>
      </w:r>
      <w:r>
        <w:rPr>
          <w:iCs/>
          <w:sz w:val="28"/>
          <w:lang w:val="ru-RU"/>
        </w:rPr>
        <w:t xml:space="preserve"> </w:t>
      </w:r>
      <w:bookmarkEnd w:id="1"/>
      <w:r>
        <w:rPr>
          <w:iCs/>
          <w:sz w:val="28"/>
        </w:rPr>
        <w:t>– для управления всем поставляемым оборудованием;</w:t>
      </w:r>
      <w:r>
        <w:rPr>
          <w:iCs/>
          <w:sz w:val="28"/>
          <w:lang w:val="ru-RU"/>
        </w:rPr>
        <w:t xml:space="preserve"> </w:t>
      </w:r>
    </w:p>
    <w:p w14:paraId="4A932162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В комплект АСУ должно входить:</w:t>
      </w:r>
    </w:p>
    <w:p w14:paraId="09748236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Система автоматизированного управления с комплектом необходимых преобразователей сигналов;</w:t>
      </w:r>
    </w:p>
    <w:p w14:paraId="55B40611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Источники бесперебойного питания для обеспечения бесперебойной работы систем автоматики;</w:t>
      </w:r>
    </w:p>
    <w:p w14:paraId="765999B5" w14:textId="77777777" w:rsidR="00A54C21" w:rsidRDefault="00A54C21" w:rsidP="00A54C21">
      <w:pPr>
        <w:pStyle w:val="a5"/>
        <w:numPr>
          <w:ilvl w:val="2"/>
          <w:numId w:val="20"/>
        </w:numPr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 xml:space="preserve">Комплект запасных частей (на гарантийный срок эксплуатации, но не менее, чем по одному наименованию каждого модуля); </w:t>
      </w:r>
    </w:p>
    <w:p w14:paraId="666AA54B" w14:textId="77777777" w:rsidR="00A54C21" w:rsidRDefault="00A54C21" w:rsidP="00A54C21">
      <w:pPr>
        <w:pStyle w:val="a3"/>
        <w:widowControl/>
        <w:numPr>
          <w:ilvl w:val="0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245427DB" w14:textId="77777777" w:rsidR="00A54C21" w:rsidRDefault="00A54C21" w:rsidP="00A54C21">
      <w:pPr>
        <w:pStyle w:val="a3"/>
        <w:widowControl/>
        <w:numPr>
          <w:ilvl w:val="0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4B89CED4" w14:textId="77777777" w:rsidR="00A54C21" w:rsidRDefault="00A54C21" w:rsidP="00A54C21">
      <w:pPr>
        <w:pStyle w:val="a3"/>
        <w:widowControl/>
        <w:numPr>
          <w:ilvl w:val="0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00D085CB" w14:textId="77777777" w:rsidR="00A54C21" w:rsidRDefault="00A54C21" w:rsidP="00A54C21">
      <w:pPr>
        <w:pStyle w:val="a3"/>
        <w:widowControl/>
        <w:numPr>
          <w:ilvl w:val="0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5AA96A00" w14:textId="77777777" w:rsidR="00A54C21" w:rsidRDefault="00A54C21" w:rsidP="00A54C21">
      <w:pPr>
        <w:pStyle w:val="a3"/>
        <w:widowControl/>
        <w:numPr>
          <w:ilvl w:val="0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3054771E" w14:textId="77777777" w:rsidR="00A54C21" w:rsidRDefault="00A54C21" w:rsidP="00A54C21">
      <w:pPr>
        <w:pStyle w:val="a3"/>
        <w:widowControl/>
        <w:numPr>
          <w:ilvl w:val="1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336A752B" w14:textId="77777777" w:rsidR="00A54C21" w:rsidRDefault="00A54C21" w:rsidP="00A54C21">
      <w:pPr>
        <w:pStyle w:val="a3"/>
        <w:widowControl/>
        <w:numPr>
          <w:ilvl w:val="1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161DC01A" w14:textId="77777777" w:rsidR="00A54C21" w:rsidRDefault="00A54C21" w:rsidP="00A54C21">
      <w:pPr>
        <w:pStyle w:val="a3"/>
        <w:widowControl/>
        <w:numPr>
          <w:ilvl w:val="1"/>
          <w:numId w:val="15"/>
        </w:numPr>
        <w:tabs>
          <w:tab w:val="left" w:pos="851"/>
          <w:tab w:val="left" w:pos="1276"/>
        </w:tabs>
        <w:autoSpaceDE/>
        <w:adjustRightInd/>
        <w:ind w:left="0" w:firstLine="0"/>
        <w:jc w:val="both"/>
        <w:rPr>
          <w:iCs/>
          <w:vanish/>
          <w:sz w:val="28"/>
          <w:szCs w:val="30"/>
          <w:lang w:val="x-none" w:eastAsia="x-none"/>
        </w:rPr>
      </w:pPr>
    </w:p>
    <w:p w14:paraId="0E5F51E2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АСУ</w:t>
      </w:r>
      <w:r>
        <w:rPr>
          <w:iCs/>
          <w:sz w:val="28"/>
          <w:lang w:val="ru-RU"/>
        </w:rPr>
        <w:t xml:space="preserve"> должна предусмотреть организацию режима самодиагностики с выдачей сообщений о неисправных элементах.</w:t>
      </w:r>
    </w:p>
    <w:p w14:paraId="79D4F38F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 xml:space="preserve">Программное обеспечение </w:t>
      </w:r>
      <w:r>
        <w:rPr>
          <w:iCs/>
          <w:sz w:val="28"/>
          <w:lang w:val="en-US"/>
        </w:rPr>
        <w:t>TIA</w:t>
      </w:r>
      <w:r>
        <w:rPr>
          <w:iCs/>
          <w:sz w:val="28"/>
          <w:lang w:val="ru-RU"/>
        </w:rPr>
        <w:t xml:space="preserve"> </w:t>
      </w:r>
      <w:r>
        <w:rPr>
          <w:iCs/>
          <w:sz w:val="28"/>
          <w:lang w:val="en-US"/>
        </w:rPr>
        <w:t>Portal</w:t>
      </w:r>
      <w:r>
        <w:rPr>
          <w:iCs/>
          <w:sz w:val="28"/>
          <w:lang w:val="ru-RU"/>
        </w:rPr>
        <w:t xml:space="preserve"> версии не ниже </w:t>
      </w:r>
      <w:r>
        <w:rPr>
          <w:iCs/>
          <w:sz w:val="28"/>
          <w:lang w:val="en-US"/>
        </w:rPr>
        <w:t>V</w:t>
      </w:r>
      <w:r>
        <w:rPr>
          <w:iCs/>
          <w:sz w:val="28"/>
          <w:lang w:val="ru-RU"/>
        </w:rPr>
        <w:t>17 - для программирования микропроцессорных контроллеров. Прикладное программное обеспечение для микропроцессорных контроллеров должно поставляться в открытом виде.</w:t>
      </w:r>
    </w:p>
    <w:p w14:paraId="7990B872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lastRenderedPageBreak/>
        <w:t>Должна быть предусмотрена передача управления оборудованием с нижнего уровня АСУТП на верхний и с верхнего уровня АСУ ТП на нижний. Основной режим управления – с верхнего уровня АСУ ТП.</w:t>
      </w:r>
    </w:p>
    <w:p w14:paraId="4000E53A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При подключении контрольно-измерительных приборов для учета </w:t>
      </w:r>
      <w:proofErr w:type="spellStart"/>
      <w:r>
        <w:rPr>
          <w:iCs/>
          <w:sz w:val="28"/>
        </w:rPr>
        <w:t>теплоэнергоресурсов</w:t>
      </w:r>
      <w:proofErr w:type="spellEnd"/>
      <w:r>
        <w:rPr>
          <w:iCs/>
          <w:sz w:val="28"/>
        </w:rPr>
        <w:t xml:space="preserve"> к сети </w:t>
      </w:r>
      <w:r>
        <w:rPr>
          <w:iCs/>
          <w:sz w:val="28"/>
          <w:lang w:val="en-US"/>
        </w:rPr>
        <w:t>Ethernet</w:t>
      </w:r>
      <w:r>
        <w:rPr>
          <w:iCs/>
          <w:sz w:val="28"/>
        </w:rPr>
        <w:t xml:space="preserve"> должен применяться протокол передачи данных </w:t>
      </w:r>
      <w:r>
        <w:rPr>
          <w:iCs/>
          <w:sz w:val="28"/>
          <w:lang w:val="en-US"/>
        </w:rPr>
        <w:t>Modbus</w:t>
      </w:r>
      <w:r>
        <w:rPr>
          <w:iCs/>
          <w:sz w:val="28"/>
          <w:lang w:val="ru-RU"/>
        </w:rPr>
        <w:t>/</w:t>
      </w:r>
      <w:r>
        <w:rPr>
          <w:iCs/>
          <w:sz w:val="28"/>
          <w:lang w:val="en-US"/>
        </w:rPr>
        <w:t>TCP</w:t>
      </w:r>
      <w:r>
        <w:rPr>
          <w:iCs/>
          <w:sz w:val="28"/>
        </w:rPr>
        <w:t>.</w:t>
      </w:r>
    </w:p>
    <w:p w14:paraId="7D66A6A0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Верхний уровень системы управления в составе сервер</w:t>
      </w:r>
      <w:r>
        <w:rPr>
          <w:iCs/>
          <w:sz w:val="28"/>
          <w:lang w:val="ru-RU"/>
        </w:rPr>
        <w:t>а</w:t>
      </w:r>
      <w:r>
        <w:rPr>
          <w:iCs/>
          <w:sz w:val="28"/>
        </w:rPr>
        <w:t xml:space="preserve"> </w:t>
      </w:r>
      <w:r>
        <w:rPr>
          <w:iCs/>
          <w:sz w:val="28"/>
          <w:lang w:val="en-US"/>
        </w:rPr>
        <w:t>WinCC</w:t>
      </w:r>
      <w:r>
        <w:rPr>
          <w:iCs/>
          <w:sz w:val="28"/>
          <w:lang w:val="ru-RU"/>
        </w:rPr>
        <w:t xml:space="preserve"> (версия 8.0)</w:t>
      </w:r>
      <w:r>
        <w:rPr>
          <w:iCs/>
          <w:sz w:val="28"/>
        </w:rPr>
        <w:t xml:space="preserve">, операторских станций и оборудования сети </w:t>
      </w:r>
      <w:r>
        <w:rPr>
          <w:iCs/>
          <w:sz w:val="28"/>
          <w:lang w:val="en-US"/>
        </w:rPr>
        <w:t>Ethernet</w:t>
      </w:r>
      <w:r>
        <w:rPr>
          <w:iCs/>
          <w:sz w:val="28"/>
        </w:rPr>
        <w:t xml:space="preserve"> поставляется заказчиком. Программное обеспечение верхнего уровня разрабатывается заказчиком.</w:t>
      </w:r>
    </w:p>
    <w:p w14:paraId="6613500B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276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В комплект поставки должно быть включено все основное и вспомогательное оборудование для нормального и безаварийного ведения технологических процессов, включая следующие основные разделы:</w:t>
      </w:r>
    </w:p>
    <w:p w14:paraId="0DF2A305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оборудование для системы управления, состоящее из контроллеров и линий связи;</w:t>
      </w:r>
    </w:p>
    <w:p w14:paraId="3064B54F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системные шкафы;</w:t>
      </w:r>
    </w:p>
    <w:p w14:paraId="228C5DE9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резервированные источники питания электрические;</w:t>
      </w:r>
    </w:p>
    <w:p w14:paraId="7DFB6EAF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запасные части для системы управления (по одному наименованию каждого модуля, включая модуль ЦПУ).</w:t>
      </w:r>
    </w:p>
    <w:p w14:paraId="31D234DF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Фирма-поставщик системы АСУ несет ответственность и гарантии за работу поставляемого оборудования и системы в целом. </w:t>
      </w:r>
    </w:p>
    <w:p w14:paraId="68432E3E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должна обеспечить ведение технологического режима в заданных регламентом параметрах.</w:t>
      </w:r>
    </w:p>
    <w:p w14:paraId="7451FB8E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должна обеспечить сбор информационных аналоговых и дискретных сигналов, нормализацию, масштабирование, фильтрацию, сглаживание, усреднение, анализ достоверности измеренных значений сигналов.</w:t>
      </w:r>
    </w:p>
    <w:p w14:paraId="082C5A2B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Цикл опроса аналоговых параметров должен быть не более 1,0 с.</w:t>
      </w:r>
    </w:p>
    <w:p w14:paraId="288BE689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Цикл опроса дискретных параметров должен быть не более </w:t>
      </w:r>
      <w:r>
        <w:rPr>
          <w:iCs/>
          <w:sz w:val="28"/>
          <w:lang w:val="ru-RU"/>
        </w:rPr>
        <w:t>1</w:t>
      </w:r>
      <w:r>
        <w:rPr>
          <w:iCs/>
          <w:sz w:val="28"/>
        </w:rPr>
        <w:t>,</w:t>
      </w:r>
      <w:r>
        <w:rPr>
          <w:iCs/>
          <w:sz w:val="28"/>
          <w:lang w:val="ru-RU"/>
        </w:rPr>
        <w:t>0</w:t>
      </w:r>
      <w:r>
        <w:rPr>
          <w:iCs/>
          <w:sz w:val="28"/>
        </w:rPr>
        <w:t xml:space="preserve"> с.</w:t>
      </w:r>
    </w:p>
    <w:p w14:paraId="1A17D11E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560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Функция информационного обслуживания оператора:</w:t>
      </w:r>
    </w:p>
    <w:p w14:paraId="1EBE19F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1134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отображение, регистрация и архивирование информации (100 % по аналоговым входам), приходящей с объекта;</w:t>
      </w:r>
    </w:p>
    <w:p w14:paraId="7DF780D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1134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обработка сигнализаций по </w:t>
      </w:r>
      <w:proofErr w:type="spellStart"/>
      <w:r>
        <w:rPr>
          <w:iCs/>
          <w:sz w:val="28"/>
        </w:rPr>
        <w:t>уставкам</w:t>
      </w:r>
      <w:proofErr w:type="spellEnd"/>
      <w:r>
        <w:rPr>
          <w:iCs/>
          <w:sz w:val="28"/>
        </w:rPr>
        <w:t xml:space="preserve"> аналоговых и дискретных параметров в реальном времени с возможностью </w:t>
      </w:r>
      <w:proofErr w:type="spellStart"/>
      <w:r>
        <w:rPr>
          <w:iCs/>
          <w:sz w:val="28"/>
        </w:rPr>
        <w:t>квитации</w:t>
      </w:r>
      <w:proofErr w:type="spellEnd"/>
      <w:r>
        <w:rPr>
          <w:iCs/>
          <w:sz w:val="28"/>
        </w:rPr>
        <w:t xml:space="preserve"> и архивацией на 90 суток, а также с возможностью вывода на печать (предусмотреть сортирование нарушений по приоритету и времени).</w:t>
      </w:r>
    </w:p>
    <w:p w14:paraId="1B174720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134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Функция автоматического регулирования:</w:t>
      </w:r>
    </w:p>
    <w:p w14:paraId="671049F3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автоматическая стабилизация заданного технологического режима;</w:t>
      </w:r>
    </w:p>
    <w:p w14:paraId="76F1D95F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реализация ПИ, ПИД – законов регулирования;</w:t>
      </w:r>
    </w:p>
    <w:p w14:paraId="372D1982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программно-логическое управление.</w:t>
      </w:r>
    </w:p>
    <w:p w14:paraId="58385DC7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Время реакции системы на управляющее воздействие оператора (например, переключение режима контура регулирования, переход из одного фрагмента мнемосхемы в другой и. т. п.) не должно превышать 0,5 с.</w:t>
      </w:r>
    </w:p>
    <w:p w14:paraId="05727510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lastRenderedPageBreak/>
        <w:t>Время отображения системой факта завершения операции, соответствующей нанесенному, управляющему воздействию не должно превышать 0,5 с, с момента появления подтверждающего сигнала.</w:t>
      </w:r>
    </w:p>
    <w:p w14:paraId="13018B28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Максимальное количество шагов (управляющих воздействий оператора) для перехода из любой текущей функции системы к функции управления объектом (контуром регулирования, исполнительным механизмом) не должно превышать трех.</w:t>
      </w:r>
    </w:p>
    <w:p w14:paraId="3D4434AE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Функции дистанционного управления должны реализовывать управление положением исполнительных механизмов, запорной арматуры. Управление оборудованием должно осуществляться с устройств ввода-вывода рабочих станций верхнего уровня и отдельных органов управления пульта (для аварийных остановок).</w:t>
      </w:r>
    </w:p>
    <w:p w14:paraId="7CA5C50F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Функции сигнализации должны реализовывать:</w:t>
      </w:r>
    </w:p>
    <w:p w14:paraId="7E85C615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сигнализацию срабатывания схем защитных блокировок (аварийная сигнализация), сигнализация должна иметь соответствующее цветовое, звуковое, текстовое и речевое наполнение с возможностью квитирования;</w:t>
      </w:r>
    </w:p>
    <w:p w14:paraId="6D0D1AB9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сигнализацию выхода параметров за пределы заданных значений (предупредительная и предаварийная сигнализация);</w:t>
      </w:r>
    </w:p>
    <w:p w14:paraId="2AC7183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сигнализация должна быть выделена соответствующим цветом и должна сопровождаться звуковой, речевой и текстовой информацией в виде строки подсказки или бегущего текста с квитированием. При срабатывании сигнализации система должна обеспечивать возможность перехода к соответствующей функции управления объектом не более чем за два шага (квитирование сигнализации в составе этих шагов не учитывается). В системе должна обеспечиваться возможность программирования автоматического перехода в заданную функцию в необходимых случаях;</w:t>
      </w:r>
    </w:p>
    <w:p w14:paraId="32F94E0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сигнализацию выхода параметров за пределы, установленные технологическим регламентом отклонений. Сигнализация должна быть выделена соответствующим цветом;</w:t>
      </w:r>
    </w:p>
    <w:p w14:paraId="2132232E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световую сигнализацию изменения состояния оборудования;</w:t>
      </w:r>
    </w:p>
    <w:p w14:paraId="1B7C52A3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сигнализация должна обеспечиваться независимо от вида выполняемой системой функции в момент появления сигнализируемого события;</w:t>
      </w:r>
    </w:p>
    <w:p w14:paraId="0B7AF02A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максимальная задержка от момента появления сигнализируемого события до срабатывания сигнализации не должна превышать 0,5 с.</w:t>
      </w:r>
    </w:p>
    <w:p w14:paraId="065C3089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должна обеспечивать синхронизацию времени устройств и функций с точностью не ниже 0,5 с, а также возможность автоматической корректировки системных часов от внешнего источника сигналов точного времени.</w:t>
      </w:r>
    </w:p>
    <w:p w14:paraId="19BEB0DE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должна обеспечивать текущую запись истории процесса.</w:t>
      </w:r>
    </w:p>
    <w:p w14:paraId="4393F7DC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Формат записи истории процесса на встроенных накопителях должен обеспечивать возможность их просмотра и печати на технических средствах системы. Средства просмотра истории процесса должны иметь функцию распечатки экрана.</w:t>
      </w:r>
    </w:p>
    <w:p w14:paraId="1E988A24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Диагностические функции должны выполняться непрерывно и включать в себя:</w:t>
      </w:r>
    </w:p>
    <w:p w14:paraId="5CF84B09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lastRenderedPageBreak/>
        <w:t>диагностика отказов микропроцессорных контроллеров и их модулей;</w:t>
      </w:r>
    </w:p>
    <w:p w14:paraId="3C638ECE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диагностика отказов операторских станций (панелей);</w:t>
      </w:r>
    </w:p>
    <w:p w14:paraId="526A5C5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диагностика отказов источников питания;</w:t>
      </w:r>
    </w:p>
    <w:p w14:paraId="55643CF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диагностика отказов датчиков источников питания;</w:t>
      </w:r>
    </w:p>
    <w:p w14:paraId="018453D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диагностика отказов датчиков и оборудования.</w:t>
      </w:r>
    </w:p>
    <w:p w14:paraId="4C8FF1E2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При обнаружении неисправностей должна быть цветовая, речевая, текстовая и звуковая сигнализация, и регистрация отказов.</w:t>
      </w:r>
    </w:p>
    <w:p w14:paraId="493F4218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Режим работы – 365 дней в году, 24 часа в сутки.</w:t>
      </w:r>
    </w:p>
    <w:p w14:paraId="1AD7739B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Напряжение питания, В: первичные датчики (DC) 24; система нижнего уровня (AC) 230 ± 20%.</w:t>
      </w:r>
    </w:p>
    <w:p w14:paraId="567AAF77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Температура эксплуатации, °С: первичные датчики от -25 до +50; система нижнего уровня от 0 до +45.</w:t>
      </w:r>
    </w:p>
    <w:p w14:paraId="3BAA3DE0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Исполнение IР: первичные датчики не ниже 6</w:t>
      </w:r>
      <w:r>
        <w:rPr>
          <w:iCs/>
          <w:sz w:val="28"/>
          <w:lang w:val="ru-RU"/>
        </w:rPr>
        <w:t>6</w:t>
      </w:r>
      <w:r>
        <w:rPr>
          <w:iCs/>
          <w:sz w:val="28"/>
        </w:rPr>
        <w:t>; система нижнего уровня не ниже 54.</w:t>
      </w:r>
    </w:p>
    <w:p w14:paraId="0D148575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Относительная влажность, %: первичные датчики 98; система нижнего уровня 60.</w:t>
      </w:r>
    </w:p>
    <w:p w14:paraId="67508D21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Запыленность, мг/м</w:t>
      </w:r>
      <w:r>
        <w:rPr>
          <w:iCs/>
          <w:sz w:val="28"/>
          <w:vertAlign w:val="superscript"/>
        </w:rPr>
        <w:t>3</w:t>
      </w:r>
      <w:r>
        <w:rPr>
          <w:iCs/>
          <w:sz w:val="28"/>
        </w:rPr>
        <w:t>:</w:t>
      </w:r>
      <w:r>
        <w:rPr>
          <w:iCs/>
          <w:sz w:val="28"/>
        </w:rPr>
        <w:tab/>
        <w:t>первичные датчики 150; система нижнего уровня 50.</w:t>
      </w:r>
    </w:p>
    <w:p w14:paraId="18430A99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Степень приспособляемости системы к отклонениям. При появлении возмущающих воздействий система должна автоматически приводить фактические значения параметров управления к заданным. При невозможности достижения заданных параметров за контрольное время система формирует оптические, акустические и текстовые (уточняется на стадии проектирования) сообщения об отклонениях от регламентных значений.</w:t>
      </w:r>
    </w:p>
    <w:p w14:paraId="5EFA60BA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bookmarkStart w:id="2" w:name="_Toc489515460"/>
      <w:r>
        <w:rPr>
          <w:sz w:val="28"/>
        </w:rPr>
        <w:t>Функции системы контроля управления и защиты.</w:t>
      </w:r>
      <w:bookmarkEnd w:id="2"/>
      <w:r>
        <w:rPr>
          <w:iCs/>
          <w:sz w:val="28"/>
        </w:rPr>
        <w:t xml:space="preserve"> Система регулирования и защиты должна выполнять следующие функции контроля и управления:</w:t>
      </w:r>
    </w:p>
    <w:p w14:paraId="465DB4E8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К</w:t>
      </w:r>
      <w:proofErr w:type="spellStart"/>
      <w:r>
        <w:rPr>
          <w:iCs/>
          <w:sz w:val="28"/>
        </w:rPr>
        <w:t>онтроль</w:t>
      </w:r>
      <w:proofErr w:type="spellEnd"/>
      <w:r>
        <w:rPr>
          <w:iCs/>
          <w:sz w:val="28"/>
        </w:rPr>
        <w:t xml:space="preserve"> технологических параметров, их сбор и представление полученной информации о состоянии технологического объекта оперативно-технологическому персоналу;</w:t>
      </w:r>
    </w:p>
    <w:p w14:paraId="13F2135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А</w:t>
      </w:r>
      <w:proofErr w:type="spellStart"/>
      <w:r>
        <w:rPr>
          <w:iCs/>
          <w:sz w:val="28"/>
        </w:rPr>
        <w:t>втоматическое</w:t>
      </w:r>
      <w:proofErr w:type="spellEnd"/>
      <w:r>
        <w:rPr>
          <w:iCs/>
          <w:sz w:val="28"/>
        </w:rPr>
        <w:t xml:space="preserve"> регулирование – стабилизация отдельных (локальных) технологических параметров и технологически связанных групп параметров (каскадные схемы регулирования), обеспечивающих устойчивость протекания технологического процесса и реализацию функций управления по стабилизации основных параметров;</w:t>
      </w:r>
    </w:p>
    <w:p w14:paraId="48DD533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Д</w:t>
      </w:r>
      <w:proofErr w:type="spellStart"/>
      <w:r>
        <w:rPr>
          <w:iCs/>
          <w:sz w:val="28"/>
        </w:rPr>
        <w:t>истанционное</w:t>
      </w:r>
      <w:proofErr w:type="spellEnd"/>
      <w:r>
        <w:rPr>
          <w:iCs/>
          <w:sz w:val="28"/>
        </w:rPr>
        <w:t xml:space="preserve"> управление – управление регулирующей, отсечной арматурой и технологическим оборудованием;</w:t>
      </w:r>
    </w:p>
    <w:p w14:paraId="6DCD3D1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С</w:t>
      </w:r>
      <w:proofErr w:type="spellStart"/>
      <w:r>
        <w:rPr>
          <w:iCs/>
          <w:sz w:val="28"/>
        </w:rPr>
        <w:t>игнализацию</w:t>
      </w:r>
      <w:proofErr w:type="spellEnd"/>
      <w:r>
        <w:rPr>
          <w:iCs/>
          <w:sz w:val="28"/>
        </w:rPr>
        <w:t xml:space="preserve"> состояния объекта - отклонение технологических параметров за заданные пределы, состояние отсечной арматуры, технологического оборудования;</w:t>
      </w:r>
    </w:p>
    <w:p w14:paraId="75AC8CD7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З</w:t>
      </w:r>
      <w:proofErr w:type="spellStart"/>
      <w:r>
        <w:rPr>
          <w:iCs/>
          <w:sz w:val="28"/>
        </w:rPr>
        <w:t>ащиту</w:t>
      </w:r>
      <w:proofErr w:type="spellEnd"/>
      <w:r>
        <w:rPr>
          <w:iCs/>
          <w:sz w:val="28"/>
        </w:rPr>
        <w:t xml:space="preserve"> объекта – противоаварийная защита и блокировка;</w:t>
      </w:r>
    </w:p>
    <w:p w14:paraId="77A40206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К</w:t>
      </w:r>
      <w:proofErr w:type="spellStart"/>
      <w:r>
        <w:rPr>
          <w:iCs/>
          <w:sz w:val="28"/>
        </w:rPr>
        <w:t>онтроль</w:t>
      </w:r>
      <w:proofErr w:type="spellEnd"/>
      <w:r>
        <w:rPr>
          <w:iCs/>
          <w:sz w:val="28"/>
        </w:rPr>
        <w:t xml:space="preserve"> срабатывания сигнализации, блокировки, состояния оборудования, контроль оперативных событий, их запись и хранение в магнитных носителях памяти;</w:t>
      </w:r>
    </w:p>
    <w:p w14:paraId="69EE8C0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lastRenderedPageBreak/>
        <w:t>З</w:t>
      </w:r>
      <w:proofErr w:type="spellStart"/>
      <w:r>
        <w:rPr>
          <w:iCs/>
          <w:sz w:val="28"/>
        </w:rPr>
        <w:t>апись</w:t>
      </w:r>
      <w:proofErr w:type="spellEnd"/>
      <w:r>
        <w:rPr>
          <w:iCs/>
          <w:sz w:val="28"/>
        </w:rPr>
        <w:t>, накопление и хранение измеряемых значений технологических параметров в реальном режиме времени с последующим представлением записанных значений по вызову в виде исторических трендов.</w:t>
      </w:r>
    </w:p>
    <w:p w14:paraId="7F7DC485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управления и все устройства, предназначенные для защиты оборудования от недопустимых величин параметров, должны быть подробно описаны и иллюстрированы рисунками, эскизами и схемами.</w:t>
      </w:r>
    </w:p>
    <w:p w14:paraId="16E9316F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bookmarkStart w:id="3" w:name="_Toc489515461"/>
      <w:r>
        <w:rPr>
          <w:sz w:val="28"/>
        </w:rPr>
        <w:t>Требования к надежности системы управления</w:t>
      </w:r>
      <w:bookmarkEnd w:id="3"/>
      <w:r>
        <w:rPr>
          <w:sz w:val="28"/>
        </w:rPr>
        <w:t>:</w:t>
      </w:r>
    </w:p>
    <w:p w14:paraId="0B1A2068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sz w:val="28"/>
        </w:rPr>
        <w:t>с</w:t>
      </w:r>
      <w:r>
        <w:rPr>
          <w:iCs/>
          <w:sz w:val="28"/>
        </w:rPr>
        <w:t>истема должна быть восстанавливаемой и обслуживаемой, рассчитанной на длительный круглосуточный режим работы, в условиях высокой температуры воздуха в производственных помещениях, доходящей в летний период до +50ºС;</w:t>
      </w:r>
    </w:p>
    <w:p w14:paraId="0459E849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наработка на отказ системы в целом должна быть не менее 15 000 часов;</w:t>
      </w:r>
    </w:p>
    <w:p w14:paraId="0830FC55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требования надежности к программному обеспечению: сохранение максимального количества выполняемых функций при отказе технических средств;</w:t>
      </w:r>
    </w:p>
    <w:p w14:paraId="5A4D0B1D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система должна эксплуатироваться не менее 15 лет (гарантированная поставка запчастей, инжиниринг);</w:t>
      </w:r>
    </w:p>
    <w:p w14:paraId="58B04741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для устойчивой и надежной работы проектируемая АСУ должна быть обеспечена лицензионными продуктами программного обеспечения;</w:t>
      </w:r>
    </w:p>
    <w:p w14:paraId="7DAA5BC8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20"/>
          <w:tab w:val="left" w:pos="851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предусмотреть возможность эволюционной замены действующих микропроцессорных средств в процессе эксплуатации;</w:t>
      </w:r>
    </w:p>
    <w:p w14:paraId="0B8FF953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замена неисправного оборудования должна производиться в работающей системе при сохранении непрерывности технологического процесса и при выполнении всех функций и задач в достаточно</w:t>
      </w:r>
      <w:r>
        <w:rPr>
          <w:iCs/>
          <w:sz w:val="28"/>
          <w:lang w:val="ru-RU"/>
        </w:rPr>
        <w:t>м</w:t>
      </w:r>
      <w:r>
        <w:rPr>
          <w:iCs/>
          <w:sz w:val="28"/>
        </w:rPr>
        <w:t xml:space="preserve"> для безопасного ведения технологического процесса объеме;</w:t>
      </w:r>
    </w:p>
    <w:p w14:paraId="2D5CADC2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в системе должны быть средства разграничения доступа к данным и к функциям;</w:t>
      </w:r>
    </w:p>
    <w:p w14:paraId="5782C5B0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к вышеуказанным требованиям включаются дополнительные требования, которые могут быть предложены Поставщиком системы, направленные на улучшение различных технических характеристик системы и работы технологических установок.</w:t>
      </w:r>
    </w:p>
    <w:p w14:paraId="4EE6E573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709"/>
          <w:tab w:val="left" w:pos="851"/>
        </w:tabs>
        <w:spacing w:before="0"/>
        <w:ind w:left="0" w:firstLine="0"/>
        <w:rPr>
          <w:iCs/>
          <w:sz w:val="28"/>
        </w:rPr>
      </w:pPr>
      <w:bookmarkStart w:id="4" w:name="_Toc489515464"/>
      <w:r>
        <w:rPr>
          <w:sz w:val="28"/>
        </w:rPr>
        <w:t>Требования к программному обеспечению системы</w:t>
      </w:r>
      <w:bookmarkEnd w:id="4"/>
      <w:r>
        <w:rPr>
          <w:sz w:val="28"/>
        </w:rPr>
        <w:t>:</w:t>
      </w:r>
    </w:p>
    <w:p w14:paraId="0AFD57EE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1134"/>
        </w:tabs>
        <w:spacing w:before="0"/>
        <w:ind w:left="0" w:firstLine="0"/>
        <w:rPr>
          <w:iCs/>
          <w:sz w:val="28"/>
        </w:rPr>
      </w:pPr>
      <w:r>
        <w:rPr>
          <w:sz w:val="28"/>
        </w:rPr>
        <w:t>П</w:t>
      </w:r>
      <w:r>
        <w:rPr>
          <w:iCs/>
          <w:sz w:val="28"/>
        </w:rPr>
        <w:t>рикладное программное обеспечение контроллеров должно обеспечивать выполнение всех функций АСУ и иметь полное описание на русском языке.</w:t>
      </w:r>
    </w:p>
    <w:p w14:paraId="3422EF32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Прикладное программное обеспечение контроллеров должно:</w:t>
      </w:r>
    </w:p>
    <w:p w14:paraId="3B3F31AC" w14:textId="77777777" w:rsidR="00A54C21" w:rsidRDefault="00A54C21" w:rsidP="00A54C21">
      <w:pPr>
        <w:pStyle w:val="a5"/>
        <w:numPr>
          <w:ilvl w:val="3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С</w:t>
      </w:r>
      <w:r>
        <w:rPr>
          <w:iCs/>
          <w:sz w:val="28"/>
        </w:rPr>
        <w:t>одержать библиотеки программных модулей (модули математических функций, первичной обработки информации, программно-логических операций, регулирования по ПИ, ПИД законам, модули алгоритмов, модули самонастройки регуляторов);</w:t>
      </w:r>
    </w:p>
    <w:p w14:paraId="02616B87" w14:textId="77777777" w:rsidR="00A54C21" w:rsidRDefault="00A54C21" w:rsidP="00A54C21">
      <w:pPr>
        <w:pStyle w:val="a5"/>
        <w:numPr>
          <w:ilvl w:val="3"/>
          <w:numId w:val="20"/>
        </w:numPr>
        <w:tabs>
          <w:tab w:val="left" w:pos="709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  <w:lang w:val="ru-RU"/>
        </w:rPr>
        <w:t>Б</w:t>
      </w:r>
      <w:proofErr w:type="spellStart"/>
      <w:r>
        <w:rPr>
          <w:iCs/>
          <w:sz w:val="28"/>
        </w:rPr>
        <w:t>ыть</w:t>
      </w:r>
      <w:proofErr w:type="spellEnd"/>
      <w:r>
        <w:rPr>
          <w:iCs/>
          <w:sz w:val="28"/>
        </w:rPr>
        <w:t xml:space="preserve"> унифицированным на уровне структуры, методов генерации алгоритмических и программных модулей и открытым.</w:t>
      </w:r>
    </w:p>
    <w:p w14:paraId="6E66DDED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20"/>
          <w:tab w:val="left" w:pos="851"/>
          <w:tab w:val="left" w:pos="184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Должна быть предоставлена символьная таблица (описание переменных контрол</w:t>
      </w:r>
      <w:r>
        <w:rPr>
          <w:iCs/>
          <w:sz w:val="28"/>
        </w:rPr>
        <w:softHyphen/>
        <w:t>лера с указанием адресов, типов, диапазонов шкал) с комментариями на русском языке.</w:t>
      </w:r>
    </w:p>
    <w:p w14:paraId="7B5CBCAA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  <w:tab w:val="left" w:pos="184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lastRenderedPageBreak/>
        <w:t>Программное обеспечение должно быть окончательно отлажено и поставлено на флэш-накопителях. Должны быть предоставлены пароли для доступа персонала эксплуатации к выполнению операций перезагрузки ПО.</w:t>
      </w:r>
    </w:p>
    <w:p w14:paraId="2FBEC85C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</w:tabs>
        <w:spacing w:before="0"/>
        <w:ind w:left="0" w:firstLine="0"/>
        <w:rPr>
          <w:iCs/>
          <w:sz w:val="28"/>
        </w:rPr>
      </w:pPr>
      <w:r>
        <w:rPr>
          <w:color w:val="000000"/>
          <w:sz w:val="28"/>
          <w:szCs w:val="28"/>
          <w:lang w:val="en-US"/>
        </w:rPr>
        <w:t>IP</w:t>
      </w:r>
      <w:r>
        <w:rPr>
          <w:color w:val="000000"/>
          <w:sz w:val="28"/>
          <w:szCs w:val="28"/>
        </w:rPr>
        <w:t>-адреса для устройств определяет заказчик</w:t>
      </w:r>
    </w:p>
    <w:p w14:paraId="45193BFA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</w:tabs>
        <w:spacing w:before="0"/>
        <w:ind w:left="0" w:firstLine="0"/>
        <w:rPr>
          <w:sz w:val="28"/>
        </w:rPr>
      </w:pPr>
      <w:bookmarkStart w:id="5" w:name="_Toc489515471"/>
      <w:r>
        <w:rPr>
          <w:sz w:val="28"/>
        </w:rPr>
        <w:t>Требования к защите от влияния внешних воздействий</w:t>
      </w:r>
      <w:bookmarkEnd w:id="5"/>
      <w:r>
        <w:rPr>
          <w:sz w:val="28"/>
        </w:rPr>
        <w:t>:</w:t>
      </w:r>
    </w:p>
    <w:p w14:paraId="741EB564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Для исключения искажения (потери) данных, показаний приборов все кабели связи от первичных датчиков до микропроцессорного контроллера (шкафов управления) выполнить экранированным кабелями типа «витая пара в экране».</w:t>
      </w:r>
    </w:p>
    <w:p w14:paraId="5921B9C8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  <w:tab w:val="left" w:pos="184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Для электрического соединения элементов применять специальные кабели, предотвращающие перегрев, токовые утечки, помехи и генерирование помех.</w:t>
      </w:r>
    </w:p>
    <w:p w14:paraId="7DE1229E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20"/>
          <w:tab w:val="left" w:pos="851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Силовые кабели, кабели управления и связи должны предохраняться от воздействия электромагнитных помех и механических воздействий.</w:t>
      </w:r>
    </w:p>
    <w:p w14:paraId="40F9F5FE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720"/>
          <w:tab w:val="left" w:pos="851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В комплект поставки должны входить кабельные сальниковые уплотнения, обеспечивающие необходимую герметичность и электромагнитную совместимость.</w:t>
      </w:r>
    </w:p>
    <w:p w14:paraId="505EEF02" w14:textId="77777777" w:rsidR="00A54C21" w:rsidRDefault="00A54C21" w:rsidP="00A54C21">
      <w:pPr>
        <w:pStyle w:val="a5"/>
        <w:numPr>
          <w:ilvl w:val="1"/>
          <w:numId w:val="20"/>
        </w:numPr>
        <w:tabs>
          <w:tab w:val="left" w:pos="851"/>
          <w:tab w:val="left" w:pos="1134"/>
        </w:tabs>
        <w:spacing w:before="0"/>
        <w:ind w:left="0" w:hanging="6"/>
        <w:rPr>
          <w:iCs/>
          <w:sz w:val="28"/>
        </w:rPr>
      </w:pPr>
      <w:bookmarkStart w:id="6" w:name="_Toc489515472"/>
      <w:r>
        <w:rPr>
          <w:sz w:val="28"/>
        </w:rPr>
        <w:t>Требования к электропитанию систем автоматики</w:t>
      </w:r>
      <w:bookmarkEnd w:id="6"/>
      <w:r>
        <w:rPr>
          <w:sz w:val="28"/>
        </w:rPr>
        <w:t>:</w:t>
      </w:r>
    </w:p>
    <w:p w14:paraId="6504027B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  <w:tab w:val="left" w:pos="184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>Электропитание системы управления выполнить от двух линий электроснабжения с применением источников бесперебойного электропитания с гарантированным временем поддержания электропитания и работоспособности АСУ в течение не менее 60 минут при полном снятии напряжения с линий электроснабжения (количество источников бесперебойного электропитания уточняется на стадии проектирования). Предусмотреть вывод сигнализации при исчезновении основного питания на верхний уровень АСУТП.</w:t>
      </w:r>
    </w:p>
    <w:p w14:paraId="65E011F5" w14:textId="77777777" w:rsidR="00A54C21" w:rsidRDefault="00A54C21" w:rsidP="00A54C21">
      <w:pPr>
        <w:pStyle w:val="a5"/>
        <w:numPr>
          <w:ilvl w:val="2"/>
          <w:numId w:val="20"/>
        </w:numPr>
        <w:tabs>
          <w:tab w:val="left" w:pos="851"/>
          <w:tab w:val="left" w:pos="993"/>
          <w:tab w:val="left" w:pos="1843"/>
        </w:tabs>
        <w:spacing w:before="0"/>
        <w:ind w:left="0" w:firstLine="0"/>
        <w:rPr>
          <w:iCs/>
          <w:sz w:val="28"/>
        </w:rPr>
      </w:pPr>
      <w:r>
        <w:rPr>
          <w:iCs/>
          <w:sz w:val="28"/>
        </w:rPr>
        <w:t xml:space="preserve">Выполнить защитное заземление </w:t>
      </w:r>
      <w:proofErr w:type="spellStart"/>
      <w:r>
        <w:rPr>
          <w:iCs/>
          <w:sz w:val="28"/>
        </w:rPr>
        <w:t>электроприемников</w:t>
      </w:r>
      <w:proofErr w:type="spellEnd"/>
      <w:r>
        <w:rPr>
          <w:iCs/>
          <w:sz w:val="28"/>
        </w:rPr>
        <w:t>, средств вычислительной техники и активного сетевого оборудования.</w:t>
      </w:r>
    </w:p>
    <w:p w14:paraId="601DC5B5" w14:textId="77777777" w:rsidR="00A54C21" w:rsidRDefault="00A54C21" w:rsidP="00A54C21">
      <w:pPr>
        <w:pStyle w:val="a5"/>
        <w:tabs>
          <w:tab w:val="left" w:pos="851"/>
          <w:tab w:val="left" w:pos="993"/>
          <w:tab w:val="left" w:pos="1843"/>
        </w:tabs>
        <w:spacing w:before="0"/>
        <w:ind w:firstLine="0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  <w:lang w:val="ru-RU" w:eastAsia="en-US"/>
        </w:rPr>
        <w:t xml:space="preserve">41. </w:t>
      </w:r>
      <w:r>
        <w:rPr>
          <w:sz w:val="28"/>
          <w:szCs w:val="28"/>
          <w:lang w:eastAsia="en-US"/>
        </w:rPr>
        <w:t>С целью унификации парка приборов</w:t>
      </w:r>
      <w:r>
        <w:rPr>
          <w:color w:val="000000"/>
          <w:sz w:val="28"/>
          <w:szCs w:val="28"/>
          <w:lang w:eastAsia="en-US"/>
        </w:rPr>
        <w:t>, применяемых в ОАО «</w:t>
      </w:r>
      <w:proofErr w:type="spellStart"/>
      <w:r>
        <w:rPr>
          <w:color w:val="000000"/>
          <w:sz w:val="28"/>
          <w:szCs w:val="28"/>
          <w:lang w:eastAsia="en-US"/>
        </w:rPr>
        <w:t>Беларуськалий</w:t>
      </w:r>
      <w:proofErr w:type="spellEnd"/>
      <w:r>
        <w:rPr>
          <w:color w:val="000000"/>
          <w:sz w:val="28"/>
          <w:szCs w:val="28"/>
          <w:lang w:eastAsia="en-US"/>
        </w:rPr>
        <w:t>», поставщику необходимо согласовать с заказчиком модели применяемых средств измерений и средств автоматизации до заключения контракта на поставку</w:t>
      </w:r>
      <w:r>
        <w:rPr>
          <w:color w:val="000000"/>
          <w:sz w:val="28"/>
          <w:szCs w:val="28"/>
          <w:lang w:val="ru-RU" w:eastAsia="en-US"/>
        </w:rPr>
        <w:t>.</w:t>
      </w:r>
    </w:p>
    <w:p w14:paraId="7136AB8F" w14:textId="77777777" w:rsidR="00A54C21" w:rsidRDefault="00A54C21" w:rsidP="00A54C21">
      <w:pPr>
        <w:rPr>
          <w:lang w:val="x-none"/>
        </w:rPr>
      </w:pPr>
    </w:p>
    <w:p w14:paraId="0E157C1F" w14:textId="77777777" w:rsidR="0095698E" w:rsidRPr="00A54C21" w:rsidRDefault="0095698E" w:rsidP="00A54C21">
      <w:pPr>
        <w:rPr>
          <w:lang w:val="x-none"/>
        </w:rPr>
      </w:pPr>
      <w:bookmarkStart w:id="7" w:name="_GoBack"/>
      <w:bookmarkEnd w:id="7"/>
    </w:p>
    <w:sectPr w:rsidR="0095698E" w:rsidRPr="00A54C21" w:rsidSect="00A54C21">
      <w:head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14C17" w14:textId="77777777" w:rsidR="00981611" w:rsidRDefault="00981611" w:rsidP="00370557">
      <w:r>
        <w:separator/>
      </w:r>
    </w:p>
  </w:endnote>
  <w:endnote w:type="continuationSeparator" w:id="0">
    <w:p w14:paraId="5FD14800" w14:textId="77777777" w:rsidR="00981611" w:rsidRDefault="00981611" w:rsidP="0037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566C5" w14:textId="77777777" w:rsidR="00981611" w:rsidRDefault="00981611" w:rsidP="00370557">
      <w:r>
        <w:separator/>
      </w:r>
    </w:p>
  </w:footnote>
  <w:footnote w:type="continuationSeparator" w:id="0">
    <w:p w14:paraId="7753B7EA" w14:textId="77777777" w:rsidR="00981611" w:rsidRDefault="00981611" w:rsidP="00370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9412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7E8BDA3" w14:textId="585856D9" w:rsidR="00E907B8" w:rsidRPr="00370557" w:rsidRDefault="00E907B8">
        <w:pPr>
          <w:pStyle w:val="a7"/>
          <w:jc w:val="center"/>
          <w:rPr>
            <w:sz w:val="24"/>
            <w:szCs w:val="24"/>
          </w:rPr>
        </w:pPr>
        <w:r w:rsidRPr="00370557">
          <w:rPr>
            <w:sz w:val="24"/>
            <w:szCs w:val="24"/>
          </w:rPr>
          <w:fldChar w:fldCharType="begin"/>
        </w:r>
        <w:r w:rsidRPr="00370557">
          <w:rPr>
            <w:sz w:val="24"/>
            <w:szCs w:val="24"/>
          </w:rPr>
          <w:instrText>PAGE   \* MERGEFORMAT</w:instrText>
        </w:r>
        <w:r w:rsidRPr="00370557">
          <w:rPr>
            <w:sz w:val="24"/>
            <w:szCs w:val="24"/>
          </w:rPr>
          <w:fldChar w:fldCharType="separate"/>
        </w:r>
        <w:r w:rsidR="00A54C21">
          <w:rPr>
            <w:noProof/>
            <w:sz w:val="24"/>
            <w:szCs w:val="24"/>
          </w:rPr>
          <w:t>6</w:t>
        </w:r>
        <w:r w:rsidRPr="00370557">
          <w:rPr>
            <w:sz w:val="24"/>
            <w:szCs w:val="24"/>
          </w:rPr>
          <w:fldChar w:fldCharType="end"/>
        </w:r>
      </w:p>
    </w:sdtContent>
  </w:sdt>
  <w:p w14:paraId="46BFEB2F" w14:textId="77777777" w:rsidR="00E907B8" w:rsidRDefault="00E907B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8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DC0CEE"/>
    <w:multiLevelType w:val="hybridMultilevel"/>
    <w:tmpl w:val="74100A7A"/>
    <w:lvl w:ilvl="0" w:tplc="105634C2">
      <w:start w:val="1"/>
      <w:numFmt w:val="decimal"/>
      <w:lvlText w:val="%1."/>
      <w:lvlJc w:val="left"/>
      <w:pPr>
        <w:ind w:left="104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5C753EF"/>
    <w:multiLevelType w:val="hybridMultilevel"/>
    <w:tmpl w:val="0046DE44"/>
    <w:lvl w:ilvl="0" w:tplc="862EF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A7497"/>
    <w:multiLevelType w:val="hybridMultilevel"/>
    <w:tmpl w:val="3880EB22"/>
    <w:lvl w:ilvl="0" w:tplc="881C053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2428E"/>
    <w:multiLevelType w:val="hybridMultilevel"/>
    <w:tmpl w:val="BCA6B39E"/>
    <w:lvl w:ilvl="0" w:tplc="54466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0448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 w15:restartNumberingAfterBreak="0">
    <w:nsid w:val="24423EA4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25F555C3"/>
    <w:multiLevelType w:val="hybridMultilevel"/>
    <w:tmpl w:val="86420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E1E88"/>
    <w:multiLevelType w:val="hybridMultilevel"/>
    <w:tmpl w:val="1FC88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B58D2"/>
    <w:multiLevelType w:val="hybridMultilevel"/>
    <w:tmpl w:val="69F8E868"/>
    <w:lvl w:ilvl="0" w:tplc="3DEE2394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0" w15:restartNumberingAfterBreak="0">
    <w:nsid w:val="404421D8"/>
    <w:multiLevelType w:val="multilevel"/>
    <w:tmpl w:val="DAD24936"/>
    <w:lvl w:ilvl="0">
      <w:start w:val="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5701FDD"/>
    <w:multiLevelType w:val="multilevel"/>
    <w:tmpl w:val="1D28E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1136A4"/>
    <w:multiLevelType w:val="hybridMultilevel"/>
    <w:tmpl w:val="F1002FA8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C344A7"/>
    <w:multiLevelType w:val="hybridMultilevel"/>
    <w:tmpl w:val="EB607F9E"/>
    <w:lvl w:ilvl="0" w:tplc="B1F8E56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15642"/>
    <w:multiLevelType w:val="hybridMultilevel"/>
    <w:tmpl w:val="C69846DA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AC4261C"/>
    <w:multiLevelType w:val="multilevel"/>
    <w:tmpl w:val="DAD24936"/>
    <w:lvl w:ilvl="0">
      <w:start w:val="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32F11E3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7" w15:restartNumberingAfterBreak="0">
    <w:nsid w:val="77827BAB"/>
    <w:multiLevelType w:val="hybridMultilevel"/>
    <w:tmpl w:val="4AE2349E"/>
    <w:lvl w:ilvl="0" w:tplc="056C4920">
      <w:start w:val="1"/>
      <w:numFmt w:val="decimal"/>
      <w:lvlText w:val="%1."/>
      <w:lvlJc w:val="left"/>
      <w:pPr>
        <w:ind w:left="72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D77E6"/>
    <w:multiLevelType w:val="multilevel"/>
    <w:tmpl w:val="E9B0C4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2"/>
  </w:num>
  <w:num w:numId="5">
    <w:abstractNumId w:val="18"/>
  </w:num>
  <w:num w:numId="6">
    <w:abstractNumId w:val="1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  <w:num w:numId="13">
    <w:abstractNumId w:val="17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8"/>
  </w:num>
  <w:num w:numId="18">
    <w:abstractNumId w:val="15"/>
  </w:num>
  <w:num w:numId="19">
    <w:abstractNumId w:val="9"/>
  </w:num>
  <w:num w:numId="2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8F"/>
    <w:rsid w:val="001068A5"/>
    <w:rsid w:val="001970B2"/>
    <w:rsid w:val="001E6D2B"/>
    <w:rsid w:val="001F0145"/>
    <w:rsid w:val="002616E2"/>
    <w:rsid w:val="002D1D1B"/>
    <w:rsid w:val="003103F0"/>
    <w:rsid w:val="00370557"/>
    <w:rsid w:val="0044218F"/>
    <w:rsid w:val="0045525E"/>
    <w:rsid w:val="004D7252"/>
    <w:rsid w:val="00523F8E"/>
    <w:rsid w:val="00543A71"/>
    <w:rsid w:val="006D3C58"/>
    <w:rsid w:val="00756FF0"/>
    <w:rsid w:val="007A36A2"/>
    <w:rsid w:val="00820752"/>
    <w:rsid w:val="00824675"/>
    <w:rsid w:val="008874E9"/>
    <w:rsid w:val="00896355"/>
    <w:rsid w:val="008A3573"/>
    <w:rsid w:val="009266DE"/>
    <w:rsid w:val="0095698E"/>
    <w:rsid w:val="00981611"/>
    <w:rsid w:val="00997450"/>
    <w:rsid w:val="009D2CDD"/>
    <w:rsid w:val="00A54C21"/>
    <w:rsid w:val="00AB3257"/>
    <w:rsid w:val="00BC23DB"/>
    <w:rsid w:val="00BF3820"/>
    <w:rsid w:val="00C74592"/>
    <w:rsid w:val="00C81EDB"/>
    <w:rsid w:val="00C96B89"/>
    <w:rsid w:val="00CA227A"/>
    <w:rsid w:val="00D0461D"/>
    <w:rsid w:val="00D80603"/>
    <w:rsid w:val="00DD41B2"/>
    <w:rsid w:val="00DF427D"/>
    <w:rsid w:val="00E47A95"/>
    <w:rsid w:val="00E55739"/>
    <w:rsid w:val="00E907B8"/>
    <w:rsid w:val="00EF18BE"/>
    <w:rsid w:val="00F3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91C7D"/>
  <w15:chartTrackingRefBased/>
  <w15:docId w15:val="{59A06286-1CB0-4FAB-87A5-2098D1DA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,Table-Normal,RSHB_Table-Normal,фото,Абзац списка основной,List Paragraph2,ПАРАГРАФ,Нумерация,список 1,List Paragraph,Маркер а),Table_Text,Number List,Заголовок_3,Bullet_IRAO,Мой Список,AC List 01,Подпись рисунка,List Paragraph1"/>
    <w:basedOn w:val="a"/>
    <w:link w:val="a4"/>
    <w:uiPriority w:val="1"/>
    <w:qFormat/>
    <w:rsid w:val="0044218F"/>
    <w:pPr>
      <w:ind w:left="720"/>
      <w:contextualSpacing/>
    </w:pPr>
  </w:style>
  <w:style w:type="character" w:customStyle="1" w:styleId="2FranklinGothicHeavy85pt1pt">
    <w:name w:val="Основной текст (2) + Franklin Gothic Heavy;8;5 pt;Интервал 1 pt"/>
    <w:rsid w:val="0044218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paragraph" w:styleId="a5">
    <w:name w:val="Body Text"/>
    <w:basedOn w:val="a"/>
    <w:link w:val="a6"/>
    <w:unhideWhenUsed/>
    <w:rsid w:val="00CA227A"/>
    <w:pPr>
      <w:widowControl/>
      <w:autoSpaceDE/>
      <w:autoSpaceDN/>
      <w:adjustRightInd/>
      <w:spacing w:before="160"/>
      <w:ind w:firstLine="709"/>
      <w:jc w:val="both"/>
    </w:pPr>
    <w:rPr>
      <w:sz w:val="30"/>
      <w:szCs w:val="30"/>
      <w:lang w:val="x-none" w:eastAsia="x-none"/>
    </w:rPr>
  </w:style>
  <w:style w:type="character" w:customStyle="1" w:styleId="a6">
    <w:name w:val="Основной текст Знак"/>
    <w:basedOn w:val="a0"/>
    <w:link w:val="a5"/>
    <w:rsid w:val="00CA227A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3705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705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705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05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Абзац Знак,Table-Normal Знак,RSHB_Table-Normal Знак,фото Знак,Абзац списка основной Знак,List Paragraph2 Знак,ПАРАГРАФ Знак,Нумерация Знак,список 1 Знак,List Paragraph Знак,Маркер а) Знак,Table_Text Знак,Number List Знак"/>
    <w:link w:val="a3"/>
    <w:uiPriority w:val="34"/>
    <w:locked/>
    <w:rsid w:val="009569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Бушенко Евгений Иванович</dc:creator>
  <cp:keywords/>
  <dc:description/>
  <cp:lastModifiedBy>Бурак Валерий Николаевич</cp:lastModifiedBy>
  <cp:revision>10</cp:revision>
  <dcterms:created xsi:type="dcterms:W3CDTF">2025-05-27T10:15:00Z</dcterms:created>
  <dcterms:modified xsi:type="dcterms:W3CDTF">2025-05-28T14:23:00Z</dcterms:modified>
</cp:coreProperties>
</file>